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FB9A" w14:textId="77777777" w:rsidR="00566F85" w:rsidRPr="00190B66" w:rsidRDefault="00566F85" w:rsidP="00566F85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90B6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Development plan template</w:t>
      </w:r>
    </w:p>
    <w:p w14:paraId="151CB6B8" w14:textId="77777777" w:rsidR="001A4FC7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56CCAE7" w14:textId="1D0F88BD" w:rsidR="00566F85" w:rsidRPr="00566F85" w:rsidRDefault="000D02EA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 successful</w:t>
      </w:r>
      <w:r w:rsidR="001A4FC7">
        <w:rPr>
          <w:rFonts w:ascii="Calibri" w:eastAsia="Times New Roman" w:hAnsi="Calibri" w:cs="Calibri"/>
          <w:color w:val="000000"/>
          <w:sz w:val="22"/>
          <w:szCs w:val="22"/>
        </w:rPr>
        <w:t xml:space="preserve"> f</w:t>
      </w:r>
      <w:r w:rsidR="00566F85" w:rsidRPr="00566F85">
        <w:rPr>
          <w:rFonts w:ascii="Calibri" w:eastAsia="Times New Roman" w:hAnsi="Calibri" w:cs="Calibri"/>
          <w:color w:val="000000"/>
          <w:sz w:val="22"/>
          <w:szCs w:val="22"/>
        </w:rPr>
        <w:t xml:space="preserve">undraising plan </w:t>
      </w:r>
      <w:r>
        <w:rPr>
          <w:rFonts w:ascii="Calibri" w:eastAsia="Times New Roman" w:hAnsi="Calibri" w:cs="Calibri"/>
          <w:color w:val="000000"/>
          <w:sz w:val="22"/>
          <w:szCs w:val="22"/>
        </w:rPr>
        <w:t>is</w:t>
      </w:r>
      <w:r w:rsidR="00566F85" w:rsidRPr="00566F85">
        <w:rPr>
          <w:rFonts w:ascii="Calibri" w:eastAsia="Times New Roman" w:hAnsi="Calibri" w:cs="Calibri"/>
          <w:color w:val="000000"/>
          <w:sz w:val="22"/>
          <w:szCs w:val="22"/>
        </w:rPr>
        <w:t xml:space="preserve"> based on the needs and capacity of the organization</w:t>
      </w:r>
      <w:r w:rsidR="001A4FC7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566F85" w:rsidRPr="00566F85">
        <w:rPr>
          <w:rFonts w:ascii="Calibri" w:eastAsia="Times New Roman" w:hAnsi="Calibri" w:cs="Calibri"/>
          <w:color w:val="000000"/>
          <w:sz w:val="22"/>
          <w:szCs w:val="22"/>
        </w:rPr>
        <w:t xml:space="preserve"> Most plans contain the following elements though it varies depending on the organization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</w:t>
      </w:r>
      <w:r w:rsidR="00190B66">
        <w:rPr>
          <w:rFonts w:ascii="Calibri" w:eastAsia="Times New Roman" w:hAnsi="Calibri" w:cs="Calibri"/>
          <w:color w:val="000000"/>
          <w:sz w:val="22"/>
          <w:szCs w:val="22"/>
        </w:rPr>
        <w:t>its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goals</w:t>
      </w:r>
      <w:r w:rsidR="00566F85" w:rsidRPr="00566F85">
        <w:rPr>
          <w:rFonts w:ascii="Calibri" w:eastAsia="Times New Roman" w:hAnsi="Calibri" w:cs="Calibri"/>
          <w:color w:val="000000"/>
          <w:sz w:val="22"/>
          <w:szCs w:val="22"/>
        </w:rPr>
        <w:t>. </w:t>
      </w:r>
      <w:r w:rsidR="001A4FC7">
        <w:rPr>
          <w:rFonts w:ascii="Calibri" w:eastAsia="Times New Roman" w:hAnsi="Calibri" w:cs="Calibri"/>
          <w:color w:val="000000"/>
          <w:sz w:val="22"/>
          <w:szCs w:val="22"/>
        </w:rPr>
        <w:t xml:space="preserve"> It always helps to find other plans and resources to find ideas to expand on your plan.</w:t>
      </w:r>
      <w:r w:rsidR="0027344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09B0CB9A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E7F8898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Introduction and overview</w:t>
      </w:r>
    </w:p>
    <w:p w14:paraId="5DA80B27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2C0D281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The current state of the organization and its fundraising program</w:t>
      </w:r>
    </w:p>
    <w:p w14:paraId="0A585198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Special circumstances that will shape the plan  </w:t>
      </w:r>
    </w:p>
    <w:p w14:paraId="793EE691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Time period for the plan (1 year, 3 years, etc.)</w:t>
      </w:r>
    </w:p>
    <w:p w14:paraId="7D204B46" w14:textId="587FD023" w:rsid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Summary of the plan</w:t>
      </w:r>
    </w:p>
    <w:p w14:paraId="3A60A39C" w14:textId="287169CC" w:rsidR="00530C1E" w:rsidRDefault="00530C1E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F46D96" w14:textId="19DAEECE" w:rsidR="00530C1E" w:rsidRDefault="000B2B40" w:rsidP="00566F85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Defining roles </w:t>
      </w:r>
      <w:r w:rsidR="003D59B7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and responsibilities- </w:t>
      </w:r>
      <w:r w:rsidR="00530C1E" w:rsidRPr="00530C1E">
        <w:rPr>
          <w:rFonts w:ascii="Calibri" w:eastAsia="Times New Roman" w:hAnsi="Calibri" w:cs="Calibri"/>
          <w:b/>
          <w:color w:val="000000"/>
          <w:sz w:val="22"/>
          <w:szCs w:val="22"/>
        </w:rPr>
        <w:t>Who are the key stakeholders that will help execute the plan?  What are their roles?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Do they have the skills and training needed</w:t>
      </w:r>
      <w:r w:rsidR="003D59B7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to complete their tasks with confidence?</w:t>
      </w:r>
    </w:p>
    <w:p w14:paraId="7F0820CF" w14:textId="75DFAC71" w:rsidR="00CD0574" w:rsidRDefault="00CD0574" w:rsidP="00566F85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20E76603" w14:textId="1260E291" w:rsidR="00CD0574" w:rsidRDefault="00CD0574" w:rsidP="00566F85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Last year’s campaign numbers</w:t>
      </w:r>
    </w:p>
    <w:p w14:paraId="29E09903" w14:textId="285AD4BE" w:rsidR="00CD0574" w:rsidRDefault="00CD0574" w:rsidP="00566F85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3FA04FE5" w14:textId="3A9F8F9C" w:rsidR="00CD0574" w:rsidRPr="00CD0574" w:rsidRDefault="008B0A31" w:rsidP="00566F85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Example: </w:t>
      </w:r>
      <w:r w:rsidR="00CD0574" w:rsidRPr="00CD0574">
        <w:rPr>
          <w:rFonts w:ascii="Calibri" w:eastAsia="Times New Roman" w:hAnsi="Calibri" w:cs="Calibri"/>
          <w:bCs/>
          <w:color w:val="000000"/>
          <w:sz w:val="22"/>
          <w:szCs w:val="22"/>
        </w:rPr>
        <w:t>2018 YEA 323 donors 2019 Goal 400</w:t>
      </w:r>
    </w:p>
    <w:p w14:paraId="70BC7311" w14:textId="089740A6" w:rsidR="00CD0574" w:rsidRDefault="00CD0574" w:rsidP="00566F85">
      <w:pPr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77AAFEFA" w14:textId="60AF66D8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Financial goals</w:t>
      </w:r>
    </w:p>
    <w:p w14:paraId="7604C03E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2F4FFB71" w14:textId="4D874C23" w:rsid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Revenue goals for each campaign/ revenue item and if it makes sense, compare to last year. See template.</w:t>
      </w:r>
    </w:p>
    <w:p w14:paraId="5A80C470" w14:textId="18FCE1D8" w:rsidR="008A3EC7" w:rsidRDefault="008A3EC7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FC1D5C" w14:textId="1EFCA2D1" w:rsidR="008A3EC7" w:rsidRDefault="008A3EC7" w:rsidP="008A3EC7">
      <w:pPr>
        <w:tabs>
          <w:tab w:val="left" w:pos="948"/>
        </w:tabs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Budget Goals for 20</w:t>
      </w:r>
      <w:r w:rsidR="00E346ED">
        <w:rPr>
          <w:rFonts w:asciiTheme="majorHAnsi" w:hAnsiTheme="majorHAnsi"/>
          <w:b/>
          <w:sz w:val="22"/>
          <w:szCs w:val="22"/>
          <w:u w:val="single"/>
        </w:rPr>
        <w:t>21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compared to the last fiscal year </w:t>
      </w:r>
    </w:p>
    <w:p w14:paraId="71FF32DA" w14:textId="77777777" w:rsidR="008A3EC7" w:rsidRDefault="008A3EC7" w:rsidP="008A3EC7">
      <w:pPr>
        <w:tabs>
          <w:tab w:val="left" w:pos="948"/>
        </w:tabs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00"/>
        <w:gridCol w:w="1821"/>
        <w:gridCol w:w="1918"/>
        <w:gridCol w:w="2390"/>
        <w:gridCol w:w="2369"/>
      </w:tblGrid>
      <w:tr w:rsidR="008A3EC7" w14:paraId="3D745B0D" w14:textId="77777777" w:rsidTr="008A5D54">
        <w:tc>
          <w:tcPr>
            <w:tcW w:w="1600" w:type="dxa"/>
          </w:tcPr>
          <w:p w14:paraId="664ECCA1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Income Categories</w:t>
            </w:r>
          </w:p>
        </w:tc>
        <w:tc>
          <w:tcPr>
            <w:tcW w:w="1821" w:type="dxa"/>
          </w:tcPr>
          <w:p w14:paraId="780D2B01" w14:textId="3AA4AEE2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FY 201</w:t>
            </w:r>
            <w:r w:rsidR="00E346ED">
              <w:rPr>
                <w:sz w:val="20"/>
                <w:szCs w:val="20"/>
              </w:rPr>
              <w:t>9</w:t>
            </w:r>
            <w:r w:rsidRPr="008A3EC7">
              <w:rPr>
                <w:sz w:val="20"/>
                <w:szCs w:val="20"/>
              </w:rPr>
              <w:t xml:space="preserve"> Actuals</w:t>
            </w:r>
          </w:p>
        </w:tc>
        <w:tc>
          <w:tcPr>
            <w:tcW w:w="1918" w:type="dxa"/>
          </w:tcPr>
          <w:p w14:paraId="2C37C27F" w14:textId="01E54805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FY 20</w:t>
            </w:r>
            <w:r w:rsidR="00E346ED">
              <w:rPr>
                <w:sz w:val="20"/>
                <w:szCs w:val="20"/>
              </w:rPr>
              <w:t>20</w:t>
            </w:r>
            <w:r w:rsidRPr="008A3EC7">
              <w:rPr>
                <w:sz w:val="20"/>
                <w:szCs w:val="20"/>
              </w:rPr>
              <w:t xml:space="preserve"> Budget</w:t>
            </w:r>
          </w:p>
        </w:tc>
        <w:tc>
          <w:tcPr>
            <w:tcW w:w="2390" w:type="dxa"/>
          </w:tcPr>
          <w:p w14:paraId="722D42CC" w14:textId="7D25083B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FY 20</w:t>
            </w:r>
            <w:r w:rsidR="00E346ED">
              <w:rPr>
                <w:sz w:val="20"/>
                <w:szCs w:val="20"/>
              </w:rPr>
              <w:t>21</w:t>
            </w:r>
            <w:r w:rsidRPr="008A3EC7">
              <w:rPr>
                <w:sz w:val="20"/>
                <w:szCs w:val="20"/>
              </w:rPr>
              <w:t xml:space="preserve"> Projections</w:t>
            </w:r>
          </w:p>
        </w:tc>
        <w:tc>
          <w:tcPr>
            <w:tcW w:w="2369" w:type="dxa"/>
          </w:tcPr>
          <w:p w14:paraId="4D6882F2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% of income</w:t>
            </w:r>
          </w:p>
        </w:tc>
      </w:tr>
      <w:tr w:rsidR="008A3EC7" w14:paraId="4F514BE8" w14:textId="77777777" w:rsidTr="008A5D54">
        <w:tc>
          <w:tcPr>
            <w:tcW w:w="1600" w:type="dxa"/>
          </w:tcPr>
          <w:p w14:paraId="33D5D319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Grants</w:t>
            </w:r>
          </w:p>
        </w:tc>
        <w:tc>
          <w:tcPr>
            <w:tcW w:w="1821" w:type="dxa"/>
          </w:tcPr>
          <w:p w14:paraId="2D10239A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  <w:p w14:paraId="2FE39E80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4A446E90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14:paraId="3E5270E4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7BC1A7DA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</w:tr>
      <w:tr w:rsidR="008A3EC7" w14:paraId="5D9CB19C" w14:textId="77777777" w:rsidTr="008A5D54">
        <w:tc>
          <w:tcPr>
            <w:tcW w:w="1600" w:type="dxa"/>
          </w:tcPr>
          <w:p w14:paraId="7CD9EAE7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Luncheon</w:t>
            </w:r>
          </w:p>
        </w:tc>
        <w:tc>
          <w:tcPr>
            <w:tcW w:w="1821" w:type="dxa"/>
          </w:tcPr>
          <w:p w14:paraId="4F15A823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  <w:p w14:paraId="0E9B2A42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71B0EDAE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14:paraId="2B9B25E5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7A099B6E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</w:tr>
      <w:tr w:rsidR="008A3EC7" w14:paraId="582F907D" w14:textId="77777777" w:rsidTr="008A5D54">
        <w:tc>
          <w:tcPr>
            <w:tcW w:w="1600" w:type="dxa"/>
          </w:tcPr>
          <w:p w14:paraId="5F56A82E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Third Party events</w:t>
            </w:r>
          </w:p>
        </w:tc>
        <w:tc>
          <w:tcPr>
            <w:tcW w:w="1821" w:type="dxa"/>
          </w:tcPr>
          <w:p w14:paraId="1A7EC5E1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0C7A0210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14:paraId="3FADD191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0A4D7288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</w:tr>
      <w:tr w:rsidR="008A3EC7" w14:paraId="4BAD6127" w14:textId="77777777" w:rsidTr="008A5D54">
        <w:tc>
          <w:tcPr>
            <w:tcW w:w="1600" w:type="dxa"/>
          </w:tcPr>
          <w:p w14:paraId="33C6F762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Churches</w:t>
            </w:r>
          </w:p>
        </w:tc>
        <w:tc>
          <w:tcPr>
            <w:tcW w:w="1821" w:type="dxa"/>
          </w:tcPr>
          <w:p w14:paraId="730D3A9F" w14:textId="77777777" w:rsidR="008A3EC7" w:rsidRPr="008A3EC7" w:rsidRDefault="008A3EC7" w:rsidP="008A3EC7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5D8EE5AA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  <w:p w14:paraId="4E0D86FE" w14:textId="77777777" w:rsidR="008A3EC7" w:rsidRPr="008A3EC7" w:rsidRDefault="008A3EC7" w:rsidP="008A5D54">
            <w:pPr>
              <w:pStyle w:val="ListParagraph"/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7800AF1D" w14:textId="77777777" w:rsidR="008A3EC7" w:rsidRPr="008A3EC7" w:rsidRDefault="008A3EC7" w:rsidP="008A5D5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4D4ADA81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</w:tr>
      <w:tr w:rsidR="008A3EC7" w14:paraId="0011C6B6" w14:textId="77777777" w:rsidTr="008A5D54">
        <w:tc>
          <w:tcPr>
            <w:tcW w:w="1600" w:type="dxa"/>
          </w:tcPr>
          <w:p w14:paraId="5574EA49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Midyear Appeal</w:t>
            </w:r>
          </w:p>
        </w:tc>
        <w:tc>
          <w:tcPr>
            <w:tcW w:w="1821" w:type="dxa"/>
          </w:tcPr>
          <w:p w14:paraId="014CD98D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7C42A054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14:paraId="230DB9DE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60A048B2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</w:tr>
      <w:tr w:rsidR="008A3EC7" w14:paraId="6428DD39" w14:textId="77777777" w:rsidTr="008A5D54">
        <w:tc>
          <w:tcPr>
            <w:tcW w:w="1600" w:type="dxa"/>
          </w:tcPr>
          <w:p w14:paraId="4500D2C3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YEA</w:t>
            </w:r>
          </w:p>
        </w:tc>
        <w:tc>
          <w:tcPr>
            <w:tcW w:w="1821" w:type="dxa"/>
          </w:tcPr>
          <w:p w14:paraId="4BA267D8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  <w:p w14:paraId="539491A9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05A4F151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14:paraId="23CA59A3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24DD984F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</w:tr>
      <w:tr w:rsidR="008A3EC7" w14:paraId="5F368666" w14:textId="77777777" w:rsidTr="008A5D54">
        <w:tc>
          <w:tcPr>
            <w:tcW w:w="1600" w:type="dxa"/>
          </w:tcPr>
          <w:p w14:paraId="0EBBBB56" w14:textId="77777777" w:rsidR="008A3EC7" w:rsidRPr="008A3EC7" w:rsidRDefault="008A3EC7" w:rsidP="008A5D54">
            <w:pPr>
              <w:rPr>
                <w:sz w:val="20"/>
                <w:szCs w:val="20"/>
              </w:rPr>
            </w:pPr>
            <w:r w:rsidRPr="008A3EC7">
              <w:rPr>
                <w:sz w:val="20"/>
                <w:szCs w:val="20"/>
              </w:rPr>
              <w:t>Individual unrestricted donations (unconnected to an event)</w:t>
            </w:r>
          </w:p>
        </w:tc>
        <w:tc>
          <w:tcPr>
            <w:tcW w:w="1821" w:type="dxa"/>
          </w:tcPr>
          <w:p w14:paraId="530E8DBC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14:paraId="706047AD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14:paraId="38AAA4A5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14:paraId="057B1DE5" w14:textId="77777777" w:rsidR="008A3EC7" w:rsidRPr="008A3EC7" w:rsidRDefault="008A3EC7" w:rsidP="008A5D54">
            <w:pPr>
              <w:rPr>
                <w:sz w:val="20"/>
                <w:szCs w:val="20"/>
              </w:rPr>
            </w:pPr>
          </w:p>
        </w:tc>
      </w:tr>
    </w:tbl>
    <w:p w14:paraId="49CED756" w14:textId="77777777" w:rsidR="008A3EC7" w:rsidRDefault="008A3EC7" w:rsidP="008A3EC7">
      <w:pPr>
        <w:tabs>
          <w:tab w:val="left" w:pos="948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58F83E4A" w14:textId="77777777" w:rsidR="008A3EC7" w:rsidRDefault="008A3EC7" w:rsidP="00566F85"/>
    <w:p w14:paraId="5D559FE1" w14:textId="77777777" w:rsidR="008510F7" w:rsidRDefault="008510F7" w:rsidP="00566F85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644C916" w14:textId="7007264F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lastRenderedPageBreak/>
        <w:t>Activities to set up success</w:t>
      </w:r>
    </w:p>
    <w:p w14:paraId="27E341C3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545E977A" w14:textId="5992C5CE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 xml:space="preserve">Activities that are not directly related to raising money but necessary to doing it well.  Examples could be database maintenance, staffing recommendations, needs for further training, </w:t>
      </w:r>
      <w:r w:rsidR="001A4FC7">
        <w:rPr>
          <w:rFonts w:ascii="Calibri" w:eastAsia="Times New Roman" w:hAnsi="Calibri" w:cs="Calibri"/>
          <w:color w:val="000000"/>
          <w:sz w:val="22"/>
          <w:szCs w:val="22"/>
        </w:rPr>
        <w:t>C</w:t>
      </w: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ampaign analysis suggestions.</w:t>
      </w:r>
      <w:r w:rsidR="001A4FC7">
        <w:rPr>
          <w:rFonts w:ascii="Calibri" w:eastAsia="Times New Roman" w:hAnsi="Calibri" w:cs="Calibri"/>
          <w:color w:val="000000"/>
          <w:sz w:val="22"/>
          <w:szCs w:val="22"/>
        </w:rPr>
        <w:t xml:space="preserve"> These ideas often come out of the assessment.</w:t>
      </w:r>
    </w:p>
    <w:p w14:paraId="4BE601A8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1DA57CE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Development Strategies/Campaigns</w:t>
      </w:r>
    </w:p>
    <w:p w14:paraId="40676881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A210191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Suggestions on improving </w:t>
      </w:r>
      <w:r w:rsidRPr="00566F8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current campaigns/ activities</w:t>
      </w: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and the introduction of </w:t>
      </w:r>
      <w:r w:rsidRPr="00566F85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new methods</w:t>
      </w: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- this section contains instructions and strategies. These strategies include cultivation, stewardship and fundraising campaigns and activities.</w:t>
      </w:r>
    </w:p>
    <w:p w14:paraId="3F45F650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071E58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Marketing and communications </w:t>
      </w:r>
    </w:p>
    <w:p w14:paraId="7E241A83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4A1A203B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Includes a narrative section if there are new activities needed to support fundraising efforts and campaigns like Impact Reports, campaign support materials, PR efforts.</w:t>
      </w:r>
    </w:p>
    <w:p w14:paraId="67534F06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20B7FFC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Keeping the team on track and updates in real time</w:t>
      </w:r>
    </w:p>
    <w:p w14:paraId="0E39A21E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540D1BE3" w14:textId="31543DFC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 xml:space="preserve">To make it possible for the entire team to review and update, </w:t>
      </w:r>
      <w:r w:rsidR="007B63D2">
        <w:rPr>
          <w:rFonts w:ascii="Calibri" w:eastAsia="Times New Roman" w:hAnsi="Calibri" w:cs="Calibri"/>
          <w:color w:val="000000"/>
          <w:sz w:val="22"/>
          <w:szCs w:val="22"/>
        </w:rPr>
        <w:t xml:space="preserve">task </w:t>
      </w: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templates are converted to Google docs</w:t>
      </w:r>
      <w:r w:rsidR="007B63D2">
        <w:rPr>
          <w:rFonts w:ascii="Calibri" w:eastAsia="Times New Roman" w:hAnsi="Calibri" w:cs="Calibri"/>
          <w:color w:val="000000"/>
          <w:sz w:val="22"/>
          <w:szCs w:val="22"/>
        </w:rPr>
        <w:t>, or something similar that allows all to view,</w:t>
      </w:r>
      <w:r w:rsidRPr="00566F8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B63D2">
        <w:rPr>
          <w:rFonts w:ascii="Calibri" w:eastAsia="Times New Roman" w:hAnsi="Calibri" w:cs="Calibri"/>
          <w:color w:val="000000"/>
          <w:sz w:val="22"/>
          <w:szCs w:val="22"/>
        </w:rPr>
        <w:t>and</w:t>
      </w:r>
      <w:r w:rsidRPr="00566F85">
        <w:rPr>
          <w:rFonts w:ascii="Calibri" w:eastAsia="Times New Roman" w:hAnsi="Calibri" w:cs="Calibri"/>
          <w:color w:val="000000"/>
          <w:sz w:val="22"/>
          <w:szCs w:val="22"/>
        </w:rPr>
        <w:t xml:space="preserve"> outline the campaigns for the year. </w:t>
      </w:r>
    </w:p>
    <w:p w14:paraId="15F3ACC8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0383BEA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Calendar section</w:t>
      </w:r>
    </w:p>
    <w:p w14:paraId="485F4FE2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0B885CB5" w14:textId="3E15CB63" w:rsid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 xml:space="preserve">This section outlines when activities take place and who is accountable.  </w:t>
      </w:r>
      <w:r w:rsidR="001A4FC7">
        <w:rPr>
          <w:rFonts w:ascii="Calibri" w:eastAsia="Times New Roman" w:hAnsi="Calibri" w:cs="Calibri"/>
          <w:color w:val="000000"/>
          <w:sz w:val="22"/>
          <w:szCs w:val="22"/>
        </w:rPr>
        <w:t xml:space="preserve">This is a team effort- include </w:t>
      </w:r>
      <w:r w:rsidR="00543986">
        <w:rPr>
          <w:rFonts w:ascii="Calibri" w:eastAsia="Times New Roman" w:hAnsi="Calibri" w:cs="Calibri"/>
          <w:color w:val="000000"/>
          <w:sz w:val="22"/>
          <w:szCs w:val="22"/>
        </w:rPr>
        <w:t xml:space="preserve">key </w:t>
      </w:r>
      <w:r w:rsidR="001A4FC7">
        <w:rPr>
          <w:rFonts w:ascii="Calibri" w:eastAsia="Times New Roman" w:hAnsi="Calibri" w:cs="Calibri"/>
          <w:color w:val="000000"/>
          <w:sz w:val="22"/>
          <w:szCs w:val="22"/>
        </w:rPr>
        <w:t>stakeholders.</w:t>
      </w:r>
      <w:r w:rsidR="00D144EE">
        <w:rPr>
          <w:rFonts w:ascii="Calibri" w:eastAsia="Times New Roman" w:hAnsi="Calibri" w:cs="Calibri"/>
          <w:color w:val="000000"/>
          <w:sz w:val="22"/>
          <w:szCs w:val="22"/>
        </w:rPr>
        <w:t xml:space="preserve"> Include in this section dates to review and process the results of campaigns and take notes for next year. Translate this to a group calendar and set up calendar reminders.</w:t>
      </w:r>
    </w:p>
    <w:p w14:paraId="65286BF4" w14:textId="5AC26B6C" w:rsidR="00190B66" w:rsidRDefault="00190B66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F9FEAC5" w14:textId="27C160E5" w:rsidR="00190B66" w:rsidRPr="00566F85" w:rsidRDefault="00190B66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0B6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Note: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Consider creating your plan as a Google doc and inserting more detailed timelines in the document as links.  Example: the year-end appeal plan or the calendar section.</w:t>
      </w:r>
    </w:p>
    <w:p w14:paraId="095949CC" w14:textId="77777777" w:rsidR="00566F85" w:rsidRPr="00566F85" w:rsidRDefault="00566F85" w:rsidP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16313C9" w14:textId="77777777" w:rsidR="005D6384" w:rsidRPr="00566F85" w:rsidRDefault="00566F8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66F8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sectPr w:rsidR="005D6384" w:rsidRPr="00566F85" w:rsidSect="00190B66">
      <w:footerReference w:type="even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DB09" w14:textId="77777777" w:rsidR="00FA618B" w:rsidRDefault="00FA618B" w:rsidP="00566F85">
      <w:r>
        <w:separator/>
      </w:r>
    </w:p>
  </w:endnote>
  <w:endnote w:type="continuationSeparator" w:id="0">
    <w:p w14:paraId="0D5E5239" w14:textId="77777777" w:rsidR="00FA618B" w:rsidRDefault="00FA618B" w:rsidP="0056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7097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F21610" w14:textId="578BB3A1" w:rsidR="00994DC7" w:rsidRDefault="00994DC7" w:rsidP="00CC46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CC2E80" w14:textId="77777777" w:rsidR="00994DC7" w:rsidRDefault="00994DC7" w:rsidP="00994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13386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30226" w14:textId="58F9F3FC" w:rsidR="00994DC7" w:rsidRDefault="00994DC7" w:rsidP="00CC46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803A9C0" w14:textId="3A956F98" w:rsidR="00566F85" w:rsidRDefault="00190B66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DB3AC08" wp14:editId="20C7765F">
          <wp:extent cx="1717040" cy="426720"/>
          <wp:effectExtent l="0" t="0" r="0" b="508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Created by Sally Dadmun Bixby – 2021</w:t>
    </w:r>
  </w:p>
  <w:p w14:paraId="0052D5E9" w14:textId="08F958F3" w:rsidR="00190B66" w:rsidRPr="00566F85" w:rsidRDefault="00190B66">
    <w:pPr>
      <w:pStyle w:val="Footer"/>
      <w:rPr>
        <w:sz w:val="20"/>
        <w:szCs w:val="20"/>
      </w:rPr>
    </w:pPr>
    <w:r>
      <w:rPr>
        <w:sz w:val="20"/>
        <w:szCs w:val="20"/>
      </w:rPr>
      <w:tab/>
      <w:t>www.philstudiopdx.com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863CE" w14:textId="77777777" w:rsidR="00FA618B" w:rsidRDefault="00FA618B" w:rsidP="00566F85">
      <w:r>
        <w:separator/>
      </w:r>
    </w:p>
  </w:footnote>
  <w:footnote w:type="continuationSeparator" w:id="0">
    <w:p w14:paraId="7720B60B" w14:textId="77777777" w:rsidR="00FA618B" w:rsidRDefault="00FA618B" w:rsidP="0056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9D"/>
    <w:rsid w:val="00040BE2"/>
    <w:rsid w:val="00067313"/>
    <w:rsid w:val="00087301"/>
    <w:rsid w:val="000B2B40"/>
    <w:rsid w:val="000D02EA"/>
    <w:rsid w:val="001451E9"/>
    <w:rsid w:val="00190B66"/>
    <w:rsid w:val="001A4FC7"/>
    <w:rsid w:val="00251BCD"/>
    <w:rsid w:val="00273447"/>
    <w:rsid w:val="002B0332"/>
    <w:rsid w:val="002D0AC9"/>
    <w:rsid w:val="002E6156"/>
    <w:rsid w:val="00300A5D"/>
    <w:rsid w:val="0035588D"/>
    <w:rsid w:val="003B53E5"/>
    <w:rsid w:val="003D59B7"/>
    <w:rsid w:val="00425ED9"/>
    <w:rsid w:val="00493B9D"/>
    <w:rsid w:val="00530C1E"/>
    <w:rsid w:val="00543986"/>
    <w:rsid w:val="00566F85"/>
    <w:rsid w:val="006311EE"/>
    <w:rsid w:val="00650FF7"/>
    <w:rsid w:val="007B63D2"/>
    <w:rsid w:val="008510F7"/>
    <w:rsid w:val="008A3EC7"/>
    <w:rsid w:val="008B0A31"/>
    <w:rsid w:val="0095603A"/>
    <w:rsid w:val="00994DC7"/>
    <w:rsid w:val="00A237B6"/>
    <w:rsid w:val="00B1567F"/>
    <w:rsid w:val="00B25A40"/>
    <w:rsid w:val="00BE073F"/>
    <w:rsid w:val="00C16931"/>
    <w:rsid w:val="00CD0574"/>
    <w:rsid w:val="00D144EE"/>
    <w:rsid w:val="00DB7276"/>
    <w:rsid w:val="00E346ED"/>
    <w:rsid w:val="00FA618B"/>
    <w:rsid w:val="00FC68BF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1DD05"/>
  <w15:chartTrackingRefBased/>
  <w15:docId w15:val="{20B89129-94F9-F04D-8300-2BAE0297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6F85"/>
  </w:style>
  <w:style w:type="paragraph" w:styleId="Header">
    <w:name w:val="header"/>
    <w:basedOn w:val="Normal"/>
    <w:link w:val="HeaderChar"/>
    <w:uiPriority w:val="99"/>
    <w:unhideWhenUsed/>
    <w:rsid w:val="00566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85"/>
  </w:style>
  <w:style w:type="paragraph" w:styleId="Footer">
    <w:name w:val="footer"/>
    <w:basedOn w:val="Normal"/>
    <w:link w:val="FooterChar"/>
    <w:uiPriority w:val="99"/>
    <w:unhideWhenUsed/>
    <w:rsid w:val="00566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85"/>
  </w:style>
  <w:style w:type="paragraph" w:styleId="ListParagraph">
    <w:name w:val="List Paragraph"/>
    <w:basedOn w:val="Normal"/>
    <w:uiPriority w:val="34"/>
    <w:qFormat/>
    <w:rsid w:val="008A3EC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8A3E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9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philstudiopdx.com</cp:lastModifiedBy>
  <cp:revision>4</cp:revision>
  <cp:lastPrinted>2019-06-03T19:00:00Z</cp:lastPrinted>
  <dcterms:created xsi:type="dcterms:W3CDTF">2021-01-24T20:50:00Z</dcterms:created>
  <dcterms:modified xsi:type="dcterms:W3CDTF">2021-01-24T20:55:00Z</dcterms:modified>
</cp:coreProperties>
</file>